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C" w:rsidRDefault="0038209C" w:rsidP="00C9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Утверждаю:</w:t>
      </w:r>
    </w:p>
    <w:p w:rsidR="0038209C" w:rsidRDefault="0038209C" w:rsidP="00C925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Заведующая МБДОУ д/с №13</w:t>
      </w:r>
    </w:p>
    <w:p w:rsidR="0038209C" w:rsidRDefault="0038209C" w:rsidP="007B629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Л.И.Гришко</w:t>
      </w:r>
      <w:proofErr w:type="spellEnd"/>
    </w:p>
    <w:p w:rsidR="0038209C" w:rsidRDefault="0038209C" w:rsidP="007B629C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8209C" w:rsidRDefault="0038209C" w:rsidP="00C9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52"/>
          <w:szCs w:val="52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ПАСПОРТ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52"/>
          <w:szCs w:val="52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дорожной безопасности</w:t>
      </w:r>
    </w:p>
    <w:p w:rsidR="0038209C" w:rsidRDefault="0038209C" w:rsidP="009B0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№13 муниципального образования </w:t>
      </w:r>
    </w:p>
    <w:p w:rsidR="0038209C" w:rsidRPr="00C925E7" w:rsidRDefault="0038209C" w:rsidP="009B0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город Горячий Ключ</w:t>
      </w:r>
      <w:bookmarkStart w:id="0" w:name="_GoBack"/>
      <w:bookmarkEnd w:id="0"/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СОДЕРЖАНИЕ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I. Общие сведения.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II. Схемы организации дорожного движения.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III. Организация работы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IV. Нормативные документы по организации работы по предупреждению детского дорожно-транспортного 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V. Система работы педагогического коллектива по профилактике детского дорожно-транспортного 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</w:t>
      </w:r>
      <w:r w:rsidRPr="005F3FA1">
        <w:rPr>
          <w:rFonts w:ascii="Times New Roman" w:hAnsi="Times New Roman"/>
          <w:sz w:val="28"/>
          <w:szCs w:val="28"/>
        </w:rPr>
        <w:t>План мероприятий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VI. Приложения.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Общие сведения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учреждение  детский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№13 муниципального образования город Горячий Ключ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Юридический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адрес: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353273</w:t>
      </w:r>
      <w:proofErr w:type="gramEnd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Краснодарский край, город Горячий Ключ, с. Безымянное, ул. Таманская/ Мира, л.№ 78/13.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Фактический адрес: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353273 Краснодарский край, город Горячий Ключ, с. Безымянное, ул. Таманская/ Мира, л.№ 78/13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Заведующий ДОУ:  </w:t>
      </w:r>
      <w:proofErr w:type="spellStart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Л.И.Гришко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Ответственные работники за мероприятия по профилактике детского травматизма:  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Москаленко М.П.  </w:t>
      </w:r>
      <w:proofErr w:type="spellStart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Беджанян</w:t>
      </w:r>
      <w:proofErr w:type="spellEnd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М.П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Количество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воспитанников: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52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чел.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Наличие уголка БДД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Наличие класса по БДД:       нет.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Наличие </w:t>
      </w:r>
      <w:proofErr w:type="spell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автогородка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(площадки) по БДД:        нет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Наличие автобуса в ОУ: нет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Владелец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автобуса :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 нет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Режим работы в ДОУ:  </w:t>
      </w:r>
    </w:p>
    <w:p w:rsidR="0038209C" w:rsidRPr="00C925E7" w:rsidRDefault="0038209C" w:rsidP="00786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 7.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0 до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.00  при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12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-часовом пребывании ребенка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МБДОУ д/с №13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8209C" w:rsidRDefault="0038209C" w:rsidP="006D0B79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Телефоны оперативных служб: 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подразделением пожарной охраны и единая служба спасения -01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полиция - 02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скорая медицинская помощь - 03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7096B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7096B" w:rsidRDefault="0038209C" w:rsidP="00C7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09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Организация работы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-правила дорожного движения, относящиеся к движению пешеходов, велосипедистов, перевозке пассажиров;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-основные дорожные знаки, касающиеся участников дорожного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движения;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сигналы светофора, регулировщика;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-требования безопасности при перевозке групп детей автобусами, при движении колонной.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постоянным (лучше частые короткие занятия с ребёнком, чем продолжительные, но редкие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конкретным (необходимо сосредоточить внимание ребёнка на действиях в условиях реального движения);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-направленным на привитие безопасных способов поведения на дороге, а не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только запоминанию правил дорожного движения;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-применимым к ближайшему окружению.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Кроме этого, широко используется: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рассматривание иллюстраций,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картин;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моделирование дорожных ситуаций;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обучающие и развивающие игры;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изготовление с детьми атрибутов и игрушек для занятий по теме дорожной безопасности;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художественно-творческая деятельность детей и др.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-комплекты дорожных знаков;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-макет улицы с транспортными средствами;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-схема маршрута безопасного движения в детский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сад;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наглядно-иллюстративный материал;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-обучающие и развивающие игры;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-атрибуты для сюжетно-ролевых игр с дорожной тематикой;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-детская художественная литература;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-картотека стихов, загадок, считалок, поговорок, пословиц;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-альбомы с фотографиями "Моя улица", "Мо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станица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";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-мультфильмы.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ДОУ в целях пропаганды безопасности дорожного движения и профилактики детского дорожно-транспортного травматизма оформлены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информационные "Уголок безопасности". Материалы, представленные на стендах, включают в себя следующее содержание: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2.План работы ДОУ по профилактике детского дорожно-транспортного травматизма.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4.Информация для родителей методического характера.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наглядная информация на стендах для родителей, в папках-передвижках;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родительские собрания, беседы с участием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педагогов;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открытые дни для родителей с просмотром занятий по дорожной грамоте;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совместные праздники и развлечения.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III. Нормативные документы по организации работы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предупреждению детского дорожно-транспортного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49FC" w:rsidRDefault="0038209C" w:rsidP="006D0B79">
      <w:pPr>
        <w:jc w:val="center"/>
        <w:rPr>
          <w:rFonts w:ascii="Times New Roman" w:hAnsi="Times New Roman"/>
          <w:sz w:val="28"/>
          <w:szCs w:val="28"/>
        </w:rPr>
      </w:pPr>
      <w:r w:rsidRPr="00C949FC">
        <w:rPr>
          <w:rFonts w:ascii="Times New Roman" w:hAnsi="Times New Roman"/>
          <w:sz w:val="28"/>
          <w:szCs w:val="28"/>
        </w:rPr>
        <w:t>ПРИКАЗ</w:t>
      </w:r>
    </w:p>
    <w:p w:rsidR="0038209C" w:rsidRPr="005F3FA1" w:rsidRDefault="0038209C" w:rsidP="005F3F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7C7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F3FA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F3FA1">
        <w:rPr>
          <w:rFonts w:ascii="Times New Roman" w:hAnsi="Times New Roman"/>
          <w:sz w:val="28"/>
          <w:szCs w:val="28"/>
        </w:rPr>
        <w:t>от  01</w:t>
      </w:r>
      <w:proofErr w:type="gramEnd"/>
      <w:r w:rsidRPr="005F3FA1">
        <w:rPr>
          <w:rFonts w:ascii="Times New Roman" w:hAnsi="Times New Roman"/>
          <w:sz w:val="28"/>
          <w:szCs w:val="28"/>
        </w:rPr>
        <w:t xml:space="preserve"> сентября  2016г.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4</w:t>
      </w:r>
      <w:r w:rsidRPr="005F3FA1">
        <w:rPr>
          <w:rFonts w:ascii="Times New Roman" w:hAnsi="Times New Roman"/>
          <w:sz w:val="28"/>
          <w:szCs w:val="28"/>
        </w:rPr>
        <w:t>2/1</w:t>
      </w:r>
      <w:r w:rsidRPr="005F3FA1">
        <w:rPr>
          <w:rFonts w:ascii="Times New Roman" w:hAnsi="Times New Roman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 организации работы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предупреждению  детского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дорожно- транспортного происшествия»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целях профилактики детского дорожно-транспортного травматизма недопущения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фактов дорожно-транспортных происшествий среди воспитанников в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7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учебном году и воспитания у детей ДОУ навыков безопасного поведения на дорогах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ПРИКАЗЫВАЮ: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Общее руководство и контроль над планированием, организацией и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проведением мероприятий по профилактике детского транспортного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травматизма оставляю за собой.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Назначить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воспитателей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Москаленко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М.П,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Беджанян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М.П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ответственными за организацию профилактической работы по предупреждению детского дорожно-транспортного травматизма.</w:t>
      </w:r>
    </w:p>
    <w:p w:rsidR="0038209C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 воспитателю Москаленко М.П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3.1. Спланировать работу по предупреждению детского транспортного травматизма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учебный год в годовом плане работы.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3.2.  Привлекать к проведению мероприятий по предупреждению детского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работников ОГИБДД, родительский комитет.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3.3. В течение учебного года в рамках мероприятий по предупреждению детского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транспортного травматизма организовать проведение: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бесед с родителями на групповых родительских собраниях;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инструктажей по безопасности дорожного движения;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тематических утренников, конкурсов, соревнований, игр, викторин с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воспитанниками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заслушивания педагогов на заседаниях педагогического совета о проведенной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работе.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 Ответственность за проведение мероприятий по предупреждению детского дорожно-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с детьми возложить на воспитателей ДОУ, которым: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4.1. Обеспечить проведение НОД с детьми по предупреждению детского дорожно-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в рамках реализации образовательных областей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4.2. Оборудовать в каждой группе ДОУ уголки по безопасности дорожного движения,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возрастными особенностями детей.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 Контроль </w:t>
      </w:r>
      <w:r w:rsidRPr="00C949FC">
        <w:rPr>
          <w:rFonts w:ascii="Times New Roman" w:hAnsi="Times New Roman"/>
          <w:sz w:val="28"/>
          <w:szCs w:val="28"/>
        </w:rPr>
        <w:t>за осуществлением данного приказа возлагаю на себя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Заведующая МБДОУ д/с №13    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Л.И.Гришко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/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Default="0038209C" w:rsidP="006D0B79">
      <w:pPr>
        <w:ind w:left="426"/>
        <w:rPr>
          <w:rFonts w:ascii="Times New Roman" w:hAnsi="Times New Roman"/>
          <w:sz w:val="28"/>
          <w:szCs w:val="28"/>
        </w:rPr>
      </w:pPr>
    </w:p>
    <w:p w:rsidR="0038209C" w:rsidRPr="00C949FC" w:rsidRDefault="0038209C" w:rsidP="006D0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209C" w:rsidRDefault="0038209C" w:rsidP="006D0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8209C" w:rsidRDefault="0038209C" w:rsidP="006D0B79"/>
    <w:p w:rsidR="0038209C" w:rsidRPr="00B466F1" w:rsidRDefault="0038209C" w:rsidP="005F3FA1">
      <w:pPr>
        <w:pStyle w:val="a3"/>
        <w:numPr>
          <w:ilvl w:val="1"/>
          <w:numId w:val="3"/>
        </w:numPr>
        <w:tabs>
          <w:tab w:val="left" w:pos="3930"/>
        </w:tabs>
        <w:spacing w:after="0"/>
        <w:jc w:val="center"/>
        <w:rPr>
          <w:b/>
        </w:rPr>
      </w:pPr>
      <w:r w:rsidRPr="00B466F1">
        <w:rPr>
          <w:rFonts w:ascii="Times New Roman" w:hAnsi="Times New Roman"/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в МБДОУ.</w:t>
      </w:r>
    </w:p>
    <w:p w:rsidR="0038209C" w:rsidRPr="00B466F1" w:rsidRDefault="0038209C" w:rsidP="005F3FA1">
      <w:pPr>
        <w:pStyle w:val="a3"/>
        <w:numPr>
          <w:ilvl w:val="2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2109"/>
        <w:gridCol w:w="2008"/>
        <w:gridCol w:w="1929"/>
        <w:gridCol w:w="2225"/>
      </w:tblGrid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Ежегодно –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при приеме на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(Движение детей в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колоннах)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Ежегодно –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проведении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spacing w:after="0" w:line="240" w:lineRule="auto"/>
            </w:pPr>
            <w:r w:rsidRPr="00E51D1B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38209C" w:rsidRDefault="0038209C" w:rsidP="005F3FA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38209C" w:rsidRPr="00B466F1" w:rsidRDefault="0038209C" w:rsidP="005F3FA1">
      <w:pPr>
        <w:pStyle w:val="a3"/>
        <w:numPr>
          <w:ilvl w:val="2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596"/>
        <w:gridCol w:w="2405"/>
        <w:gridCol w:w="2435"/>
      </w:tblGrid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Оборудовать в группах уголки, макеты улиц для игры детям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</w:t>
            </w:r>
            <w:proofErr w:type="gramStart"/>
            <w:r w:rsidRPr="00E51D1B">
              <w:rPr>
                <w:rFonts w:ascii="Times New Roman" w:hAnsi="Times New Roman"/>
                <w:sz w:val="28"/>
              </w:rPr>
              <w:t>иллюстративным материалом</w:t>
            </w:r>
            <w:proofErr w:type="gramEnd"/>
            <w:r w:rsidRPr="00E51D1B">
              <w:rPr>
                <w:rFonts w:ascii="Times New Roman" w:hAnsi="Times New Roman"/>
                <w:sz w:val="28"/>
              </w:rPr>
              <w:t xml:space="preserve"> направленным на изучение и повторение с </w:t>
            </w:r>
            <w:r w:rsidRPr="00E51D1B">
              <w:rPr>
                <w:rFonts w:ascii="Times New Roman" w:hAnsi="Times New Roman"/>
                <w:sz w:val="28"/>
              </w:rPr>
              <w:lastRenderedPageBreak/>
              <w:t>детьми</w:t>
            </w: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Обзор литературы по теме: «Профилактика ДДТТ и ПДД» 1. Журналы «Управление ДОУ», «Дошкольное воспитание», «Воспитатель ДОУ»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</w:tbl>
    <w:p w:rsidR="0038209C" w:rsidRDefault="0038209C" w:rsidP="005F3FA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38209C" w:rsidRPr="007C582B" w:rsidRDefault="0038209C" w:rsidP="005F3FA1">
      <w:pPr>
        <w:pStyle w:val="a3"/>
        <w:numPr>
          <w:ilvl w:val="1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7C582B">
        <w:rPr>
          <w:rFonts w:ascii="Times New Roman" w:hAnsi="Times New Roman"/>
          <w:sz w:val="28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561"/>
        <w:gridCol w:w="2418"/>
        <w:gridCol w:w="2430"/>
      </w:tblGrid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</w:t>
            </w:r>
            <w:r w:rsidRPr="00E51D1B">
              <w:rPr>
                <w:rFonts w:ascii="Times New Roman" w:hAnsi="Times New Roman"/>
                <w:sz w:val="28"/>
              </w:rPr>
              <w:lastRenderedPageBreak/>
              <w:t xml:space="preserve">по ПДД. Например, «Родители – образец поведения на дорогах и улицах» и др.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Помещать в 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Pr="00D46822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Pr="00C925E7" w:rsidRDefault="0038209C">
      <w:pPr>
        <w:rPr>
          <w:rFonts w:ascii="Times New Roman" w:hAnsi="Times New Roman"/>
          <w:sz w:val="28"/>
          <w:szCs w:val="28"/>
        </w:rPr>
      </w:pPr>
    </w:p>
    <w:sectPr w:rsidR="0038209C" w:rsidRPr="00C925E7" w:rsidSect="003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20D6B"/>
    <w:multiLevelType w:val="multilevel"/>
    <w:tmpl w:val="89180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103E85"/>
    <w:multiLevelType w:val="multilevel"/>
    <w:tmpl w:val="89180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53"/>
    <w:rsid w:val="000239C6"/>
    <w:rsid w:val="00044EA1"/>
    <w:rsid w:val="00047C70"/>
    <w:rsid w:val="0005451E"/>
    <w:rsid w:val="00075350"/>
    <w:rsid w:val="00091BEE"/>
    <w:rsid w:val="000B0042"/>
    <w:rsid w:val="000C66F7"/>
    <w:rsid w:val="000D2A8B"/>
    <w:rsid w:val="00110512"/>
    <w:rsid w:val="00121F78"/>
    <w:rsid w:val="00150B52"/>
    <w:rsid w:val="00162A46"/>
    <w:rsid w:val="00166452"/>
    <w:rsid w:val="00173179"/>
    <w:rsid w:val="00180D76"/>
    <w:rsid w:val="00187F4E"/>
    <w:rsid w:val="00196F6F"/>
    <w:rsid w:val="001A41D2"/>
    <w:rsid w:val="001A6BCC"/>
    <w:rsid w:val="001B4922"/>
    <w:rsid w:val="001C0EE3"/>
    <w:rsid w:val="001C46A6"/>
    <w:rsid w:val="001C64F0"/>
    <w:rsid w:val="001E2298"/>
    <w:rsid w:val="001E28A4"/>
    <w:rsid w:val="001E6998"/>
    <w:rsid w:val="00254F6D"/>
    <w:rsid w:val="002640B1"/>
    <w:rsid w:val="0028133C"/>
    <w:rsid w:val="002914B4"/>
    <w:rsid w:val="002F32D3"/>
    <w:rsid w:val="002F6098"/>
    <w:rsid w:val="00310130"/>
    <w:rsid w:val="00321058"/>
    <w:rsid w:val="00323C4F"/>
    <w:rsid w:val="00337971"/>
    <w:rsid w:val="00371272"/>
    <w:rsid w:val="003758D4"/>
    <w:rsid w:val="0038209C"/>
    <w:rsid w:val="00396020"/>
    <w:rsid w:val="003A4DC8"/>
    <w:rsid w:val="003D1605"/>
    <w:rsid w:val="003D7176"/>
    <w:rsid w:val="003E6A76"/>
    <w:rsid w:val="003F255E"/>
    <w:rsid w:val="004018E7"/>
    <w:rsid w:val="00443BF2"/>
    <w:rsid w:val="004518D3"/>
    <w:rsid w:val="0046615B"/>
    <w:rsid w:val="004D0947"/>
    <w:rsid w:val="004E535A"/>
    <w:rsid w:val="004F4067"/>
    <w:rsid w:val="00536AD2"/>
    <w:rsid w:val="005450AB"/>
    <w:rsid w:val="00553271"/>
    <w:rsid w:val="005815E4"/>
    <w:rsid w:val="005A226F"/>
    <w:rsid w:val="005A399D"/>
    <w:rsid w:val="005B0BB1"/>
    <w:rsid w:val="005E02D6"/>
    <w:rsid w:val="005E254B"/>
    <w:rsid w:val="005F3FA1"/>
    <w:rsid w:val="00615D73"/>
    <w:rsid w:val="00627743"/>
    <w:rsid w:val="00642209"/>
    <w:rsid w:val="006440CF"/>
    <w:rsid w:val="00660606"/>
    <w:rsid w:val="00663EB3"/>
    <w:rsid w:val="0068147E"/>
    <w:rsid w:val="00682244"/>
    <w:rsid w:val="00694BB4"/>
    <w:rsid w:val="006A5A06"/>
    <w:rsid w:val="006C013A"/>
    <w:rsid w:val="006D0B79"/>
    <w:rsid w:val="006E2272"/>
    <w:rsid w:val="006F2EBC"/>
    <w:rsid w:val="006F5D53"/>
    <w:rsid w:val="00711B95"/>
    <w:rsid w:val="00724A62"/>
    <w:rsid w:val="00751CD3"/>
    <w:rsid w:val="007826D2"/>
    <w:rsid w:val="00786EB0"/>
    <w:rsid w:val="007967AD"/>
    <w:rsid w:val="007B1680"/>
    <w:rsid w:val="007B3D53"/>
    <w:rsid w:val="007B629C"/>
    <w:rsid w:val="007C44D5"/>
    <w:rsid w:val="007C5811"/>
    <w:rsid w:val="007C582B"/>
    <w:rsid w:val="007F3AE4"/>
    <w:rsid w:val="0080548C"/>
    <w:rsid w:val="00813D92"/>
    <w:rsid w:val="008216B6"/>
    <w:rsid w:val="00832551"/>
    <w:rsid w:val="00887CF0"/>
    <w:rsid w:val="008C5530"/>
    <w:rsid w:val="008D06BB"/>
    <w:rsid w:val="008E6FAB"/>
    <w:rsid w:val="00906726"/>
    <w:rsid w:val="009B0FE0"/>
    <w:rsid w:val="009D17E3"/>
    <w:rsid w:val="009F1D5D"/>
    <w:rsid w:val="00A226B9"/>
    <w:rsid w:val="00A226C9"/>
    <w:rsid w:val="00A73A2F"/>
    <w:rsid w:val="00A968EC"/>
    <w:rsid w:val="00AC4C71"/>
    <w:rsid w:val="00B01088"/>
    <w:rsid w:val="00B24A8D"/>
    <w:rsid w:val="00B466F1"/>
    <w:rsid w:val="00B74ADE"/>
    <w:rsid w:val="00B816C1"/>
    <w:rsid w:val="00BA0569"/>
    <w:rsid w:val="00BB27E3"/>
    <w:rsid w:val="00C10F87"/>
    <w:rsid w:val="00C27FDF"/>
    <w:rsid w:val="00C31604"/>
    <w:rsid w:val="00C65500"/>
    <w:rsid w:val="00C7096B"/>
    <w:rsid w:val="00C874C9"/>
    <w:rsid w:val="00C925E7"/>
    <w:rsid w:val="00C949FC"/>
    <w:rsid w:val="00CA317A"/>
    <w:rsid w:val="00CE424D"/>
    <w:rsid w:val="00D126C3"/>
    <w:rsid w:val="00D3193A"/>
    <w:rsid w:val="00D45DFF"/>
    <w:rsid w:val="00D46822"/>
    <w:rsid w:val="00D52F1E"/>
    <w:rsid w:val="00D701F8"/>
    <w:rsid w:val="00D85D56"/>
    <w:rsid w:val="00DA0454"/>
    <w:rsid w:val="00DB1972"/>
    <w:rsid w:val="00DB5B3F"/>
    <w:rsid w:val="00DB7070"/>
    <w:rsid w:val="00DE77E0"/>
    <w:rsid w:val="00DF025A"/>
    <w:rsid w:val="00DF21E5"/>
    <w:rsid w:val="00E35584"/>
    <w:rsid w:val="00E35C68"/>
    <w:rsid w:val="00E478D1"/>
    <w:rsid w:val="00E51D1B"/>
    <w:rsid w:val="00E56443"/>
    <w:rsid w:val="00EB3871"/>
    <w:rsid w:val="00EB3904"/>
    <w:rsid w:val="00EB4BB2"/>
    <w:rsid w:val="00EC68F6"/>
    <w:rsid w:val="00F005D9"/>
    <w:rsid w:val="00F17A3B"/>
    <w:rsid w:val="00F360F5"/>
    <w:rsid w:val="00F40937"/>
    <w:rsid w:val="00F50D14"/>
    <w:rsid w:val="00F56403"/>
    <w:rsid w:val="00F573A3"/>
    <w:rsid w:val="00F7442B"/>
    <w:rsid w:val="00F91DC7"/>
    <w:rsid w:val="00FF3124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900D2-CCE9-47BB-AEBD-234019D5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0AB"/>
    <w:pPr>
      <w:ind w:left="720"/>
      <w:contextualSpacing/>
    </w:pPr>
  </w:style>
  <w:style w:type="table" w:styleId="a4">
    <w:name w:val="Table Grid"/>
    <w:basedOn w:val="a1"/>
    <w:uiPriority w:val="99"/>
    <w:rsid w:val="005F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1760</Words>
  <Characters>10034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Утверждаю:</dc:title>
  <dc:subject/>
  <dc:creator>iRu</dc:creator>
  <cp:keywords/>
  <dc:description/>
  <cp:lastModifiedBy>Admin</cp:lastModifiedBy>
  <cp:revision>3</cp:revision>
  <cp:lastPrinted>2016-11-21T09:24:00Z</cp:lastPrinted>
  <dcterms:created xsi:type="dcterms:W3CDTF">2016-11-21T14:10:00Z</dcterms:created>
  <dcterms:modified xsi:type="dcterms:W3CDTF">2016-11-22T05:54:00Z</dcterms:modified>
</cp:coreProperties>
</file>